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5EFE" w14:textId="70AD51FE" w:rsidR="004A107D" w:rsidRPr="0034743F" w:rsidRDefault="004A107D">
      <w:pPr>
        <w:rPr>
          <w:rFonts w:ascii="Arial" w:hAnsi="Arial" w:cs="Arial"/>
          <w:color w:val="171717" w:themeColor="background2" w:themeShade="1A"/>
        </w:rPr>
      </w:pPr>
      <w:r w:rsidRPr="0034743F">
        <w:rPr>
          <w:rFonts w:ascii="Arial" w:hAnsi="Arial" w:cs="Arial"/>
          <w:color w:val="171717" w:themeColor="background2" w:themeShade="1A"/>
        </w:rPr>
        <w:t>Head of Children’s Service</w:t>
      </w:r>
      <w:r w:rsidR="00DF17FC">
        <w:rPr>
          <w:rFonts w:ascii="Arial" w:hAnsi="Arial" w:cs="Arial"/>
          <w:color w:val="171717" w:themeColor="background2" w:themeShade="1A"/>
        </w:rPr>
        <w:t xml:space="preserve">s, </w:t>
      </w:r>
      <w:r w:rsidR="00DF17FC" w:rsidRPr="00DF17FC">
        <w:rPr>
          <w:rFonts w:ascii="Arial" w:hAnsi="Arial" w:cs="Arial"/>
          <w:color w:val="129CA2"/>
        </w:rPr>
        <w:t>[</w:t>
      </w:r>
      <w:r w:rsidR="00DF17FC" w:rsidRPr="00DF17FC">
        <w:rPr>
          <w:rFonts w:ascii="Arial" w:hAnsi="Arial" w:cs="Arial"/>
          <w:i/>
          <w:iCs/>
          <w:color w:val="129CA2"/>
        </w:rPr>
        <w:t>LEA]</w:t>
      </w:r>
    </w:p>
    <w:p w14:paraId="048A97B2" w14:textId="77777777" w:rsidR="004A107D" w:rsidRPr="0034743F" w:rsidRDefault="004A107D">
      <w:pPr>
        <w:rPr>
          <w:rFonts w:ascii="Arial" w:hAnsi="Arial" w:cs="Arial"/>
          <w:color w:val="171717" w:themeColor="background2" w:themeShade="1A"/>
        </w:rPr>
      </w:pPr>
    </w:p>
    <w:p w14:paraId="3C5700A7" w14:textId="31580659" w:rsidR="00435B5A" w:rsidRPr="0034743F" w:rsidRDefault="004A107D">
      <w:pPr>
        <w:rPr>
          <w:rFonts w:ascii="Arial" w:hAnsi="Arial" w:cs="Arial"/>
          <w:color w:val="171717" w:themeColor="background2" w:themeShade="1A"/>
        </w:rPr>
      </w:pPr>
      <w:r w:rsidRPr="0034743F">
        <w:rPr>
          <w:rFonts w:ascii="Arial" w:hAnsi="Arial" w:cs="Arial"/>
          <w:color w:val="171717" w:themeColor="background2" w:themeShade="1A"/>
        </w:rPr>
        <w:t xml:space="preserve">Dear </w:t>
      </w:r>
      <w:r w:rsidR="000F68B8" w:rsidRPr="000F68B8">
        <w:rPr>
          <w:rFonts w:ascii="Arial" w:hAnsi="Arial" w:cs="Arial"/>
          <w:color w:val="129CA2"/>
        </w:rPr>
        <w:t>[</w:t>
      </w:r>
      <w:r w:rsidR="000F68B8" w:rsidRPr="000F68B8">
        <w:rPr>
          <w:rFonts w:ascii="Arial" w:hAnsi="Arial" w:cs="Arial"/>
          <w:i/>
          <w:iCs/>
          <w:color w:val="129CA2"/>
        </w:rPr>
        <w:t>name</w:t>
      </w:r>
      <w:r w:rsidR="000F68B8" w:rsidRPr="000F68B8">
        <w:rPr>
          <w:rFonts w:ascii="Arial" w:hAnsi="Arial" w:cs="Arial"/>
          <w:color w:val="129CA2"/>
        </w:rPr>
        <w:t>]</w:t>
      </w:r>
    </w:p>
    <w:p w14:paraId="0CE81514" w14:textId="2ACBCFF5" w:rsidR="004A107D" w:rsidRPr="0034743F" w:rsidRDefault="004A107D">
      <w:p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I am a </w:t>
      </w:r>
      <w:r w:rsidRPr="000F68B8">
        <w:rPr>
          <w:rFonts w:ascii="Arial" w:hAnsi="Arial" w:cs="Arial"/>
          <w:color w:val="129CA2"/>
          <w:shd w:val="clear" w:color="auto" w:fill="FFFFFF"/>
        </w:rPr>
        <w:t>[</w:t>
      </w:r>
      <w:r w:rsidRPr="000F68B8">
        <w:rPr>
          <w:rFonts w:ascii="Arial" w:hAnsi="Arial" w:cs="Arial"/>
          <w:i/>
          <w:iCs/>
          <w:color w:val="129CA2"/>
          <w:shd w:val="clear" w:color="auto" w:fill="FFFFFF"/>
        </w:rPr>
        <w:t>county</w:t>
      </w:r>
      <w:r w:rsidRPr="000F68B8">
        <w:rPr>
          <w:rFonts w:ascii="Arial" w:hAnsi="Arial" w:cs="Arial"/>
          <w:color w:val="129CA2"/>
          <w:shd w:val="clear" w:color="auto" w:fill="FFFFFF"/>
        </w:rPr>
        <w:t xml:space="preserve">][parent/carer], 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and I am writing to you about </w:t>
      </w:r>
      <w:r w:rsidRPr="000F68B8">
        <w:rPr>
          <w:rFonts w:ascii="Arial" w:hAnsi="Arial" w:cs="Arial"/>
          <w:color w:val="129CA2"/>
          <w:shd w:val="clear" w:color="auto" w:fill="FFFFFF"/>
        </w:rPr>
        <w:t>[</w:t>
      </w:r>
      <w:r w:rsidRPr="000F68B8">
        <w:rPr>
          <w:rFonts w:ascii="Arial" w:hAnsi="Arial" w:cs="Arial"/>
          <w:i/>
          <w:iCs/>
          <w:color w:val="129CA2"/>
          <w:shd w:val="clear" w:color="auto" w:fill="FFFFFF"/>
        </w:rPr>
        <w:t>name</w:t>
      </w:r>
      <w:r w:rsidRPr="000F68B8">
        <w:rPr>
          <w:rFonts w:ascii="Arial" w:hAnsi="Arial" w:cs="Arial"/>
          <w:color w:val="129CA2"/>
          <w:shd w:val="clear" w:color="auto" w:fill="FFFFFF"/>
        </w:rPr>
        <w:t xml:space="preserve">] 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guidance issued by the council to schools and other education settings.  </w:t>
      </w:r>
    </w:p>
    <w:p w14:paraId="67F5AA84" w14:textId="4ED4DE1B" w:rsidR="004A107D" w:rsidRDefault="004A107D">
      <w:p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As you may have seen, </w:t>
      </w:r>
      <w:hyperlink r:id="rId7" w:history="1">
        <w:r w:rsidRPr="003464AE">
          <w:rPr>
            <w:rStyle w:val="Hyperlink"/>
            <w:rFonts w:ascii="Arial" w:hAnsi="Arial" w:cs="Arial"/>
            <w:shd w:val="clear" w:color="auto" w:fill="FFFFFF"/>
          </w:rPr>
          <w:t xml:space="preserve">Oxfordshire </w:t>
        </w:r>
        <w:r w:rsidRPr="003464AE">
          <w:rPr>
            <w:rStyle w:val="Hyperlink"/>
            <w:rFonts w:ascii="Arial" w:hAnsi="Arial" w:cs="Arial"/>
            <w:shd w:val="clear" w:color="auto" w:fill="FFFFFF"/>
          </w:rPr>
          <w:t>C</w:t>
        </w:r>
        <w:r w:rsidRPr="003464AE">
          <w:rPr>
            <w:rStyle w:val="Hyperlink"/>
            <w:rFonts w:ascii="Arial" w:hAnsi="Arial" w:cs="Arial"/>
            <w:shd w:val="clear" w:color="auto" w:fill="FFFFFF"/>
          </w:rPr>
          <w:t>ounty Council were recently the subject of legal proceedings</w:t>
        </w:r>
      </w:hyperlink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 by a teenage girl who felt that their </w:t>
      </w:r>
      <w:r w:rsidR="00BE3F05"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‘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Trans Inclusion Toolkit</w:t>
      </w:r>
      <w:r w:rsidR="00BE3F05"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’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 disregarded her rights to safety, dignity and privacy. A judge had ruled that </w:t>
      </w:r>
      <w:r w:rsidR="00BE3F05"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it was arguable that the toolkit was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 unlawful, and </w:t>
      </w:r>
      <w:r w:rsidR="00BE3F05"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the case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 was due to proceed to judicial review when Oxfordshire decided to withdraw it. </w:t>
      </w:r>
      <w:r w:rsidR="003464AE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Shropshire County Council have </w:t>
      </w:r>
      <w:r w:rsidR="00E60961">
        <w:rPr>
          <w:rFonts w:ascii="Arial" w:hAnsi="Arial" w:cs="Arial"/>
          <w:color w:val="171717" w:themeColor="background2" w:themeShade="1A"/>
          <w:shd w:val="clear" w:color="auto" w:fill="FFFFFF"/>
        </w:rPr>
        <w:t>since decided to withdraw their own guidance, which was also the subject of challenge by parents.</w:t>
      </w:r>
    </w:p>
    <w:p w14:paraId="12FABF9F" w14:textId="41D6C79B" w:rsidR="0034743F" w:rsidRPr="0034743F" w:rsidRDefault="0031110E">
      <w:pPr>
        <w:rPr>
          <w:rFonts w:ascii="Arial" w:hAnsi="Arial" w:cs="Arial"/>
          <w:color w:val="171717" w:themeColor="background2" w:themeShade="1A"/>
          <w:shd w:val="clear" w:color="auto" w:fill="FFFFFF"/>
        </w:rPr>
      </w:pPr>
      <w:r>
        <w:rPr>
          <w:rFonts w:ascii="Arial" w:hAnsi="Arial" w:cs="Arial"/>
          <w:color w:val="171717" w:themeColor="background2" w:themeShade="1A"/>
          <w:shd w:val="clear" w:color="auto" w:fill="FFFFFF"/>
        </w:rPr>
        <w:t>You can view the</w:t>
      </w:r>
      <w:r w:rsid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 legal Letter Before Action which was sent to Oxfordshire, </w:t>
      </w:r>
      <w:hyperlink r:id="rId8" w:history="1">
        <w:r w:rsidRPr="0031110E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>
        <w:rPr>
          <w:rFonts w:ascii="Arial" w:hAnsi="Arial" w:cs="Arial"/>
          <w:color w:val="171717" w:themeColor="background2" w:themeShade="1A"/>
          <w:shd w:val="clear" w:color="auto" w:fill="FFFFFF"/>
        </w:rPr>
        <w:t>.</w:t>
      </w:r>
    </w:p>
    <w:p w14:paraId="6E67C677" w14:textId="38E0EFD9" w:rsidR="004A107D" w:rsidRPr="000F68B8" w:rsidRDefault="004A107D">
      <w:pPr>
        <w:rPr>
          <w:rFonts w:ascii="Arial" w:hAnsi="Arial" w:cs="Arial"/>
          <w:color w:val="129CA2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I have reviewed the </w:t>
      </w:r>
      <w:r w:rsidRPr="000F68B8">
        <w:rPr>
          <w:rFonts w:ascii="Arial" w:hAnsi="Arial" w:cs="Arial"/>
          <w:color w:val="129CA2"/>
          <w:shd w:val="clear" w:color="auto" w:fill="FFFFFF"/>
        </w:rPr>
        <w:t>[</w:t>
      </w:r>
      <w:r w:rsidRPr="000F68B8">
        <w:rPr>
          <w:rFonts w:ascii="Arial" w:hAnsi="Arial" w:cs="Arial"/>
          <w:i/>
          <w:iCs/>
          <w:color w:val="129CA2"/>
          <w:shd w:val="clear" w:color="auto" w:fill="FFFFFF"/>
        </w:rPr>
        <w:t>name</w:t>
      </w:r>
      <w:r w:rsidRPr="000F68B8">
        <w:rPr>
          <w:rFonts w:ascii="Arial" w:hAnsi="Arial" w:cs="Arial"/>
          <w:color w:val="129CA2"/>
          <w:shd w:val="clear" w:color="auto" w:fill="FFFFFF"/>
        </w:rPr>
        <w:t xml:space="preserve">] 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guidance issued by the council and I believe that this contains many of the same flaws as the Oxfordshire </w:t>
      </w:r>
      <w:r w:rsidR="00BE3F05"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toolkit</w:t>
      </w: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: </w:t>
      </w:r>
      <w:r w:rsidR="000F68B8" w:rsidRPr="000F68B8">
        <w:rPr>
          <w:rFonts w:ascii="Arial" w:hAnsi="Arial" w:cs="Arial"/>
          <w:color w:val="129CA2"/>
          <w:shd w:val="clear" w:color="auto" w:fill="FFFFFF"/>
        </w:rPr>
        <w:t>[delete where not appropriate]</w:t>
      </w:r>
    </w:p>
    <w:p w14:paraId="6B5E70A6" w14:textId="06F9793A" w:rsidR="00E64565" w:rsidRPr="0034743F" w:rsidRDefault="004A107D" w:rsidP="00FD3F50">
      <w:pPr>
        <w:pStyle w:val="ListParagraph"/>
        <w:numPr>
          <w:ilvl w:val="0"/>
          <w:numId w:val="1"/>
        </w:num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It </w:t>
      </w:r>
      <w:r w:rsidR="00D0005E"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misrepresents the Equality Act 2010 </w:t>
      </w:r>
      <w:r w:rsidR="00E64565"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 xml:space="preserve">by replacing ‘sex’ with ‘gender’ and omitting to refer to the single-sex exceptions contained in the act. </w:t>
      </w:r>
    </w:p>
    <w:p w14:paraId="7012CB5A" w14:textId="2BAC59FF" w:rsidR="004A107D" w:rsidRPr="0034743F" w:rsidRDefault="00E64565" w:rsidP="00FD3F50">
      <w:pPr>
        <w:pStyle w:val="ListParagraph"/>
        <w:numPr>
          <w:ilvl w:val="0"/>
          <w:numId w:val="1"/>
        </w:num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It fails to fulfil the Public Sector Equality Duty by prioritising one protected characteristic (‘gender reassignment’) over others.</w:t>
      </w:r>
    </w:p>
    <w:p w14:paraId="0E0560C2" w14:textId="0F0C80BD" w:rsidR="00E64565" w:rsidRPr="0034743F" w:rsidRDefault="00557940" w:rsidP="00FD3F50">
      <w:pPr>
        <w:pStyle w:val="ListParagraph"/>
        <w:numPr>
          <w:ilvl w:val="0"/>
          <w:numId w:val="1"/>
        </w:num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It fails to meet basic safeguarding requirements by promoting mixed-sex changing rooms and residential accommodation, and the use of harmful practices such as breast-binding.</w:t>
      </w:r>
    </w:p>
    <w:p w14:paraId="6DB39E1C" w14:textId="1684C249" w:rsidR="00FD3F50" w:rsidRPr="0034743F" w:rsidRDefault="00FD3F50" w:rsidP="00FD3F50">
      <w:pPr>
        <w:pStyle w:val="ListParagraph"/>
        <w:numPr>
          <w:ilvl w:val="0"/>
          <w:numId w:val="1"/>
        </w:num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It treats concerned parents as a safeguarding risk.</w:t>
      </w:r>
    </w:p>
    <w:p w14:paraId="09DD1AB2" w14:textId="7E1E281B" w:rsidR="00FD3F50" w:rsidRPr="0034743F" w:rsidRDefault="00FD3F50" w:rsidP="00FD3F50">
      <w:pPr>
        <w:pStyle w:val="ListParagraph"/>
        <w:numPr>
          <w:ilvl w:val="0"/>
          <w:numId w:val="1"/>
        </w:numPr>
        <w:rPr>
          <w:rFonts w:ascii="Arial" w:hAnsi="Arial" w:cs="Arial"/>
          <w:color w:val="171717" w:themeColor="background2" w:themeShade="1A"/>
          <w:shd w:val="clear" w:color="auto" w:fill="FFFFFF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It disregards the rights of all pupils to safety, privacy and dignity in single sex spaces.</w:t>
      </w:r>
    </w:p>
    <w:p w14:paraId="018A021E" w14:textId="26AA60F4" w:rsidR="00FD3F50" w:rsidRPr="0034743F" w:rsidRDefault="00FD3F50" w:rsidP="00FD3F50">
      <w:pPr>
        <w:pStyle w:val="ListParagraph"/>
        <w:numPr>
          <w:ilvl w:val="0"/>
          <w:numId w:val="1"/>
        </w:numPr>
        <w:rPr>
          <w:rFonts w:ascii="Arial" w:hAnsi="Arial" w:cs="Arial"/>
          <w:color w:val="171717" w:themeColor="background2" w:themeShade="1A"/>
        </w:rPr>
      </w:pPr>
      <w:r w:rsidRPr="0034743F">
        <w:rPr>
          <w:rFonts w:ascii="Arial" w:hAnsi="Arial" w:cs="Arial"/>
          <w:color w:val="171717" w:themeColor="background2" w:themeShade="1A"/>
          <w:shd w:val="clear" w:color="auto" w:fill="FFFFFF"/>
        </w:rPr>
        <w:t>It disregards the rights of teenage girls to compete in sports on a level playing field.</w:t>
      </w:r>
    </w:p>
    <w:p w14:paraId="1CD6EFEE" w14:textId="46BDA3B1" w:rsidR="00FD3F50" w:rsidRDefault="00FD3F50" w:rsidP="00FD3F50">
      <w:pPr>
        <w:rPr>
          <w:rFonts w:ascii="Arial" w:hAnsi="Arial" w:cs="Arial"/>
          <w:color w:val="171717" w:themeColor="background2" w:themeShade="1A"/>
        </w:rPr>
      </w:pPr>
      <w:bookmarkStart w:id="0" w:name="_GoBack"/>
      <w:bookmarkEnd w:id="0"/>
      <w:r w:rsidRPr="0034743F">
        <w:rPr>
          <w:rFonts w:ascii="Arial" w:hAnsi="Arial" w:cs="Arial"/>
          <w:color w:val="171717" w:themeColor="background2" w:themeShade="1A"/>
        </w:rPr>
        <w:t xml:space="preserve">I am requesting that you withdraw </w:t>
      </w:r>
      <w:r w:rsidR="000F68B8" w:rsidRPr="000F68B8">
        <w:rPr>
          <w:rFonts w:ascii="Arial" w:hAnsi="Arial" w:cs="Arial"/>
          <w:color w:val="129CA2"/>
          <w:shd w:val="clear" w:color="auto" w:fill="FFFFFF"/>
        </w:rPr>
        <w:t>[</w:t>
      </w:r>
      <w:r w:rsidR="000F68B8" w:rsidRPr="000F68B8">
        <w:rPr>
          <w:rFonts w:ascii="Arial" w:hAnsi="Arial" w:cs="Arial"/>
          <w:i/>
          <w:iCs/>
          <w:color w:val="129CA2"/>
          <w:shd w:val="clear" w:color="auto" w:fill="FFFFFF"/>
        </w:rPr>
        <w:t>name</w:t>
      </w:r>
      <w:r w:rsidR="000F68B8" w:rsidRPr="000F68B8">
        <w:rPr>
          <w:rFonts w:ascii="Arial" w:hAnsi="Arial" w:cs="Arial"/>
          <w:color w:val="129CA2"/>
          <w:shd w:val="clear" w:color="auto" w:fill="FFFFFF"/>
        </w:rPr>
        <w:t>]</w:t>
      </w:r>
      <w:r w:rsidRPr="0034743F">
        <w:rPr>
          <w:rFonts w:ascii="Arial" w:hAnsi="Arial" w:cs="Arial"/>
          <w:color w:val="171717" w:themeColor="background2" w:themeShade="1A"/>
        </w:rPr>
        <w:t xml:space="preserve"> guidance</w:t>
      </w:r>
      <w:r w:rsidR="0034743F">
        <w:rPr>
          <w:rFonts w:ascii="Arial" w:hAnsi="Arial" w:cs="Arial"/>
          <w:color w:val="171717" w:themeColor="background2" w:themeShade="1A"/>
        </w:rPr>
        <w:t xml:space="preserve"> within 14 days,</w:t>
      </w:r>
      <w:r w:rsidRPr="0034743F">
        <w:rPr>
          <w:rFonts w:ascii="Arial" w:hAnsi="Arial" w:cs="Arial"/>
          <w:color w:val="171717" w:themeColor="background2" w:themeShade="1A"/>
        </w:rPr>
        <w:t xml:space="preserve"> </w:t>
      </w:r>
      <w:r w:rsidR="0034743F">
        <w:rPr>
          <w:rFonts w:ascii="Arial" w:hAnsi="Arial" w:cs="Arial"/>
          <w:color w:val="171717" w:themeColor="background2" w:themeShade="1A"/>
        </w:rPr>
        <w:t>with a view to</w:t>
      </w:r>
      <w:r w:rsidRPr="0034743F">
        <w:rPr>
          <w:rFonts w:ascii="Arial" w:hAnsi="Arial" w:cs="Arial"/>
          <w:color w:val="171717" w:themeColor="background2" w:themeShade="1A"/>
        </w:rPr>
        <w:t xml:space="preserve"> replac</w:t>
      </w:r>
      <w:r w:rsidR="0034743F">
        <w:rPr>
          <w:rFonts w:ascii="Arial" w:hAnsi="Arial" w:cs="Arial"/>
          <w:color w:val="171717" w:themeColor="background2" w:themeShade="1A"/>
        </w:rPr>
        <w:t>ing</w:t>
      </w:r>
      <w:r w:rsidRPr="0034743F">
        <w:rPr>
          <w:rFonts w:ascii="Arial" w:hAnsi="Arial" w:cs="Arial"/>
          <w:color w:val="171717" w:themeColor="background2" w:themeShade="1A"/>
        </w:rPr>
        <w:t xml:space="preserve"> it with guidance which has been validated by experts in equality law and child safeguarding and has not been produced by a trans lobby group. </w:t>
      </w:r>
    </w:p>
    <w:p w14:paraId="743D8FB8" w14:textId="07032A67" w:rsidR="003464AE" w:rsidRPr="0034743F" w:rsidRDefault="003464AE" w:rsidP="00FD3F50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I</w:t>
      </w:r>
      <w:r w:rsidRPr="003464AE">
        <w:rPr>
          <w:rFonts w:ascii="Arial" w:hAnsi="Arial" w:cs="Arial"/>
          <w:color w:val="171717" w:themeColor="background2" w:themeShade="1A"/>
        </w:rPr>
        <w:t xml:space="preserve">f you do not comply </w:t>
      </w:r>
      <w:r>
        <w:rPr>
          <w:rFonts w:ascii="Arial" w:hAnsi="Arial" w:cs="Arial"/>
          <w:color w:val="171717" w:themeColor="background2" w:themeShade="1A"/>
        </w:rPr>
        <w:t>with</w:t>
      </w:r>
      <w:r w:rsidRPr="003464AE">
        <w:rPr>
          <w:rFonts w:ascii="Arial" w:hAnsi="Arial" w:cs="Arial"/>
          <w:color w:val="171717" w:themeColor="background2" w:themeShade="1A"/>
        </w:rPr>
        <w:t>in 14 days</w:t>
      </w:r>
      <w:r>
        <w:rPr>
          <w:rFonts w:ascii="Arial" w:hAnsi="Arial" w:cs="Arial"/>
          <w:color w:val="171717" w:themeColor="background2" w:themeShade="1A"/>
        </w:rPr>
        <w:t>,</w:t>
      </w:r>
      <w:r w:rsidRPr="003464AE">
        <w:rPr>
          <w:rFonts w:ascii="Arial" w:hAnsi="Arial" w:cs="Arial"/>
          <w:color w:val="171717" w:themeColor="background2" w:themeShade="1A"/>
        </w:rPr>
        <w:t xml:space="preserve"> I will </w:t>
      </w:r>
      <w:r w:rsidR="0031110E">
        <w:rPr>
          <w:rFonts w:ascii="Arial" w:hAnsi="Arial" w:cs="Arial"/>
          <w:color w:val="171717" w:themeColor="background2" w:themeShade="1A"/>
        </w:rPr>
        <w:t>seek legal advice on how to take this further.</w:t>
      </w:r>
    </w:p>
    <w:p w14:paraId="6653ED90" w14:textId="2CE5BD98" w:rsidR="00FD3F50" w:rsidRPr="0034743F" w:rsidRDefault="0034743F" w:rsidP="00FD3F50">
      <w:pPr>
        <w:rPr>
          <w:rFonts w:ascii="Arial" w:hAnsi="Arial" w:cs="Arial"/>
          <w:color w:val="171717" w:themeColor="background2" w:themeShade="1A"/>
        </w:rPr>
      </w:pPr>
      <w:r w:rsidRPr="0034743F">
        <w:rPr>
          <w:rFonts w:ascii="Arial" w:hAnsi="Arial" w:cs="Arial"/>
          <w:color w:val="171717" w:themeColor="background2" w:themeShade="1A"/>
        </w:rPr>
        <w:t xml:space="preserve">I look forward to hearing from you. </w:t>
      </w:r>
    </w:p>
    <w:p w14:paraId="71563067" w14:textId="104AB38D" w:rsidR="00FD3F50" w:rsidRPr="0034743F" w:rsidRDefault="00FD3F50" w:rsidP="00FD3F50">
      <w:pPr>
        <w:rPr>
          <w:rFonts w:ascii="Arial" w:hAnsi="Arial" w:cs="Arial"/>
          <w:color w:val="171717" w:themeColor="background2" w:themeShade="1A"/>
        </w:rPr>
      </w:pPr>
      <w:r w:rsidRPr="0034743F">
        <w:rPr>
          <w:rFonts w:ascii="Arial" w:hAnsi="Arial" w:cs="Arial"/>
          <w:color w:val="171717" w:themeColor="background2" w:themeShade="1A"/>
        </w:rPr>
        <w:t xml:space="preserve"> </w:t>
      </w:r>
    </w:p>
    <w:sectPr w:rsidR="00FD3F50" w:rsidRPr="00347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3926" w14:textId="77777777" w:rsidR="00A27633" w:rsidRDefault="00A27633" w:rsidP="005A42E2">
      <w:pPr>
        <w:spacing w:after="0" w:line="240" w:lineRule="auto"/>
      </w:pPr>
      <w:r>
        <w:separator/>
      </w:r>
    </w:p>
  </w:endnote>
  <w:endnote w:type="continuationSeparator" w:id="0">
    <w:p w14:paraId="0DB4E5B0" w14:textId="77777777" w:rsidR="00A27633" w:rsidRDefault="00A27633" w:rsidP="005A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544C" w14:textId="77777777" w:rsidR="00A27633" w:rsidRDefault="00A27633" w:rsidP="005A42E2">
      <w:pPr>
        <w:spacing w:after="0" w:line="240" w:lineRule="auto"/>
      </w:pPr>
      <w:r>
        <w:separator/>
      </w:r>
    </w:p>
  </w:footnote>
  <w:footnote w:type="continuationSeparator" w:id="0">
    <w:p w14:paraId="33BAA5CB" w14:textId="77777777" w:rsidR="00A27633" w:rsidRDefault="00A27633" w:rsidP="005A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10D0"/>
    <w:multiLevelType w:val="hybridMultilevel"/>
    <w:tmpl w:val="5A5E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7D"/>
    <w:rsid w:val="000F68B8"/>
    <w:rsid w:val="0031110E"/>
    <w:rsid w:val="003464AE"/>
    <w:rsid w:val="0034743F"/>
    <w:rsid w:val="003834DC"/>
    <w:rsid w:val="00435B5A"/>
    <w:rsid w:val="004A107D"/>
    <w:rsid w:val="00557940"/>
    <w:rsid w:val="005A42E2"/>
    <w:rsid w:val="00687EAD"/>
    <w:rsid w:val="00A27633"/>
    <w:rsid w:val="00BE3F05"/>
    <w:rsid w:val="00D0005E"/>
    <w:rsid w:val="00DF17FC"/>
    <w:rsid w:val="00E60961"/>
    <w:rsid w:val="00E64565"/>
    <w:rsid w:val="00F27B04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891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1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E2"/>
  </w:style>
  <w:style w:type="paragraph" w:styleId="Footer">
    <w:name w:val="footer"/>
    <w:basedOn w:val="Normal"/>
    <w:link w:val="FooterChar"/>
    <w:uiPriority w:val="99"/>
    <w:unhideWhenUsed/>
    <w:rsid w:val="005A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choolsallianceuk.files.wordpress.com/2019/12/letter-before-action-childrens-services-oxfordshire-cc-sensitive-information-redacted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schoolsallianceuk.net/legal-action-against-oxfordshire-county-coun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2020-05-15T16:29:00Z</dcterms:created>
  <dcterms:modified xsi:type="dcterms:W3CDTF">2020-05-15T20:44:00Z</dcterms:modified>
</cp:coreProperties>
</file>